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000000"/>
          <w:kern w:val="0"/>
          <w:sz w:val="30"/>
          <w:szCs w:val="30"/>
        </w:rPr>
      </w:pPr>
      <w:r>
        <w:rPr>
          <w:rFonts w:hint="eastAsia" w:ascii="宋体" w:hAnsi="宋体" w:cs="宋体"/>
          <w:b/>
          <w:bCs/>
          <w:color w:val="000000"/>
          <w:kern w:val="0"/>
          <w:sz w:val="30"/>
          <w:szCs w:val="30"/>
        </w:rPr>
        <w:t>华南师范大学文学院汉语言文学（非全日制）</w:t>
      </w:r>
    </w:p>
    <w:p>
      <w:pPr>
        <w:jc w:val="center"/>
        <w:rPr>
          <w:rFonts w:ascii="华文楷体" w:hAnsi="华文楷体" w:eastAsia="华文楷体"/>
          <w:sz w:val="30"/>
          <w:szCs w:val="30"/>
        </w:rPr>
      </w:pPr>
      <w:r>
        <w:rPr>
          <w:rFonts w:hint="eastAsia" w:ascii="宋体" w:hAnsi="宋体" w:cs="宋体"/>
          <w:b/>
          <w:bCs/>
          <w:color w:val="000000"/>
          <w:kern w:val="0"/>
          <w:sz w:val="30"/>
          <w:szCs w:val="30"/>
        </w:rPr>
        <w:t>本科毕业论文开题</w:t>
      </w:r>
      <w:r>
        <w:rPr>
          <w:rFonts w:ascii="宋体" w:hAnsi="宋体" w:cs="宋体"/>
          <w:b/>
          <w:bCs/>
          <w:color w:val="000000"/>
          <w:kern w:val="0"/>
          <w:sz w:val="30"/>
          <w:szCs w:val="30"/>
        </w:rPr>
        <w:t>报告</w:t>
      </w:r>
    </w:p>
    <w:tbl>
      <w:tblPr>
        <w:tblStyle w:val="2"/>
        <w:tblW w:w="88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2"/>
        <w:gridCol w:w="2971"/>
        <w:gridCol w:w="1134"/>
        <w:gridCol w:w="3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1692" w:type="dxa"/>
            <w:vAlign w:val="center"/>
          </w:tcPr>
          <w:p>
            <w:pPr>
              <w:rPr>
                <w:rFonts w:ascii="方正粗黑宋简体" w:hAnsi="方正粗黑宋简体" w:eastAsia="方正粗黑宋简体"/>
                <w:b/>
                <w:szCs w:val="21"/>
              </w:rPr>
            </w:pPr>
            <w:r>
              <w:rPr>
                <w:rFonts w:hint="eastAsia" w:ascii="方正粗黑宋简体" w:hAnsi="方正粗黑宋简体" w:eastAsia="方正粗黑宋简体"/>
                <w:b/>
                <w:szCs w:val="21"/>
              </w:rPr>
              <w:t>姓    名</w:t>
            </w:r>
          </w:p>
        </w:tc>
        <w:tc>
          <w:tcPr>
            <w:tcW w:w="2971" w:type="dxa"/>
            <w:vAlign w:val="center"/>
          </w:tcPr>
          <w:p>
            <w:pPr>
              <w:jc w:val="center"/>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徐丽</w:t>
            </w:r>
          </w:p>
        </w:tc>
        <w:tc>
          <w:tcPr>
            <w:tcW w:w="1134" w:type="dxa"/>
            <w:vAlign w:val="center"/>
          </w:tcPr>
          <w:p>
            <w:pPr>
              <w:rPr>
                <w:rFonts w:ascii="方正粗黑宋简体" w:hAnsi="方正粗黑宋简体" w:eastAsia="方正粗黑宋简体"/>
                <w:b/>
                <w:szCs w:val="21"/>
              </w:rPr>
            </w:pPr>
            <w:r>
              <w:rPr>
                <w:rFonts w:hint="eastAsia" w:ascii="方正粗黑宋简体" w:hAnsi="方正粗黑宋简体" w:eastAsia="方正粗黑宋简体"/>
                <w:b/>
                <w:szCs w:val="21"/>
              </w:rPr>
              <w:t>学习</w:t>
            </w:r>
            <w:r>
              <w:rPr>
                <w:rFonts w:ascii="方正粗黑宋简体" w:hAnsi="方正粗黑宋简体" w:eastAsia="方正粗黑宋简体"/>
                <w:b/>
                <w:szCs w:val="21"/>
              </w:rPr>
              <w:t>方式</w:t>
            </w:r>
          </w:p>
        </w:tc>
        <w:tc>
          <w:tcPr>
            <w:tcW w:w="3092" w:type="dxa"/>
            <w:vAlign w:val="center"/>
          </w:tcPr>
          <w:p>
            <w:pPr>
              <w:jc w:val="center"/>
              <w:rPr>
                <w:rFonts w:ascii="Calibri" w:hAnsi="Calibri"/>
                <w:sz w:val="18"/>
                <w:szCs w:val="22"/>
              </w:rPr>
            </w:pPr>
            <w:r>
              <w:rPr>
                <w:rFonts w:hint="eastAsia" w:ascii="方正粗黑宋简体" w:hAnsi="方正粗黑宋简体" w:eastAsia="方正粗黑宋简体"/>
                <w:szCs w:val="21"/>
              </w:rPr>
              <w:t>成人教育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692" w:type="dxa"/>
            <w:vAlign w:val="center"/>
          </w:tcPr>
          <w:p>
            <w:pPr>
              <w:spacing w:line="400" w:lineRule="exact"/>
              <w:rPr>
                <w:rFonts w:ascii="方正粗黑宋简体" w:hAnsi="方正粗黑宋简体" w:eastAsia="方正粗黑宋简体"/>
                <w:b/>
                <w:szCs w:val="21"/>
              </w:rPr>
            </w:pPr>
            <w:r>
              <w:rPr>
                <w:rFonts w:hint="eastAsia" w:ascii="方正粗黑宋简体" w:hAnsi="方正粗黑宋简体" w:eastAsia="方正粗黑宋简体"/>
                <w:b/>
                <w:szCs w:val="21"/>
              </w:rPr>
              <w:t>学</w:t>
            </w:r>
            <w:r>
              <w:rPr>
                <w:rFonts w:ascii="方正粗黑宋简体" w:hAnsi="方正粗黑宋简体" w:eastAsia="方正粗黑宋简体"/>
                <w:b/>
                <w:szCs w:val="21"/>
              </w:rPr>
              <w:t>号</w:t>
            </w:r>
            <w:r>
              <w:rPr>
                <w:rFonts w:hint="eastAsia" w:ascii="方正粗黑宋简体" w:hAnsi="方正粗黑宋简体" w:eastAsia="方正粗黑宋简体"/>
                <w:b/>
                <w:szCs w:val="21"/>
              </w:rPr>
              <w:t>/准考证号</w:t>
            </w:r>
          </w:p>
        </w:tc>
        <w:tc>
          <w:tcPr>
            <w:tcW w:w="2971" w:type="dxa"/>
            <w:vAlign w:val="center"/>
          </w:tcPr>
          <w:p>
            <w:pPr>
              <w:jc w:val="center"/>
              <w:rPr>
                <w:rFonts w:ascii="方正粗黑宋简体" w:hAnsi="方正粗黑宋简体" w:eastAsia="方正粗黑宋简体"/>
                <w:szCs w:val="21"/>
              </w:rPr>
            </w:pPr>
            <w:r>
              <w:rPr>
                <w:rFonts w:hint="eastAsia" w:ascii="方正粗黑宋简体" w:hAnsi="方正粗黑宋简体" w:eastAsia="方正粗黑宋简体"/>
                <w:szCs w:val="21"/>
              </w:rPr>
              <w:t>225320036069</w:t>
            </w:r>
          </w:p>
        </w:tc>
        <w:tc>
          <w:tcPr>
            <w:tcW w:w="1134" w:type="dxa"/>
            <w:vAlign w:val="center"/>
          </w:tcPr>
          <w:p>
            <w:pPr>
              <w:rPr>
                <w:rFonts w:ascii="方正粗黑宋简体" w:hAnsi="方正粗黑宋简体" w:eastAsia="方正粗黑宋简体"/>
                <w:b/>
                <w:szCs w:val="21"/>
              </w:rPr>
            </w:pPr>
            <w:r>
              <w:rPr>
                <w:rFonts w:hint="eastAsia" w:ascii="方正粗黑宋简体" w:hAnsi="方正粗黑宋简体" w:eastAsia="方正粗黑宋简体"/>
                <w:b/>
                <w:szCs w:val="21"/>
              </w:rPr>
              <w:t>身</w:t>
            </w:r>
            <w:r>
              <w:rPr>
                <w:rFonts w:ascii="方正粗黑宋简体" w:hAnsi="方正粗黑宋简体" w:eastAsia="方正粗黑宋简体"/>
                <w:b/>
                <w:szCs w:val="21"/>
              </w:rPr>
              <w:t>份证号</w:t>
            </w:r>
          </w:p>
        </w:tc>
        <w:tc>
          <w:tcPr>
            <w:tcW w:w="3092" w:type="dxa"/>
            <w:vAlign w:val="center"/>
          </w:tcPr>
          <w:p>
            <w:pPr>
              <w:jc w:val="left"/>
              <w:rPr>
                <w:rFonts w:ascii="Calibri" w:hAnsi="Calibri"/>
                <w:sz w:val="18"/>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92" w:type="dxa"/>
            <w:vAlign w:val="center"/>
          </w:tcPr>
          <w:p>
            <w:pPr>
              <w:rPr>
                <w:rFonts w:ascii="方正粗黑宋简体" w:hAnsi="方正粗黑宋简体" w:eastAsia="方正粗黑宋简体"/>
                <w:b/>
                <w:szCs w:val="21"/>
              </w:rPr>
            </w:pPr>
            <w:r>
              <w:rPr>
                <w:rFonts w:hint="eastAsia" w:ascii="方正粗黑宋简体" w:hAnsi="方正粗黑宋简体" w:eastAsia="方正粗黑宋简体"/>
                <w:b/>
                <w:szCs w:val="21"/>
              </w:rPr>
              <w:t>联系电话</w:t>
            </w:r>
          </w:p>
        </w:tc>
        <w:tc>
          <w:tcPr>
            <w:tcW w:w="2971" w:type="dxa"/>
            <w:vAlign w:val="center"/>
          </w:tcPr>
          <w:p>
            <w:pPr>
              <w:jc w:val="center"/>
              <w:rPr>
                <w:rFonts w:ascii="方正粗黑宋简体" w:hAnsi="方正粗黑宋简体" w:eastAsia="方正粗黑宋简体"/>
                <w:szCs w:val="21"/>
              </w:rPr>
            </w:pPr>
          </w:p>
        </w:tc>
        <w:tc>
          <w:tcPr>
            <w:tcW w:w="1134" w:type="dxa"/>
            <w:vAlign w:val="center"/>
          </w:tcPr>
          <w:p>
            <w:pPr>
              <w:rPr>
                <w:rFonts w:ascii="方正粗黑宋简体" w:hAnsi="方正粗黑宋简体" w:eastAsia="方正粗黑宋简体"/>
                <w:b/>
                <w:szCs w:val="21"/>
              </w:rPr>
            </w:pPr>
            <w:r>
              <w:rPr>
                <w:rFonts w:hint="eastAsia" w:ascii="方正粗黑宋简体" w:hAnsi="方正粗黑宋简体" w:eastAsia="方正粗黑宋简体"/>
                <w:b/>
                <w:szCs w:val="21"/>
              </w:rPr>
              <w:t>邮    箱</w:t>
            </w:r>
          </w:p>
        </w:tc>
        <w:tc>
          <w:tcPr>
            <w:tcW w:w="3092" w:type="dxa"/>
            <w:vAlign w:val="center"/>
          </w:tcPr>
          <w:p>
            <w:pPr>
              <w:jc w:val="left"/>
              <w:rPr>
                <w:rFonts w:ascii="Calibri" w:hAnsi="Calibri"/>
                <w:sz w:val="18"/>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92" w:type="dxa"/>
            <w:vAlign w:val="center"/>
          </w:tcPr>
          <w:p>
            <w:pPr>
              <w:rPr>
                <w:rFonts w:ascii="方正粗黑宋简体" w:hAnsi="方正粗黑宋简体" w:eastAsia="方正粗黑宋简体"/>
                <w:b/>
                <w:szCs w:val="21"/>
              </w:rPr>
            </w:pPr>
            <w:r>
              <w:rPr>
                <w:rFonts w:hint="eastAsia" w:ascii="方正粗黑宋简体" w:hAnsi="方正粗黑宋简体" w:eastAsia="方正粗黑宋简体"/>
                <w:b/>
                <w:szCs w:val="21"/>
              </w:rPr>
              <w:t>选题</w:t>
            </w:r>
            <w:r>
              <w:rPr>
                <w:rFonts w:ascii="方正粗黑宋简体" w:hAnsi="方正粗黑宋简体" w:eastAsia="方正粗黑宋简体"/>
                <w:b/>
                <w:szCs w:val="21"/>
              </w:rPr>
              <w:t>名称</w:t>
            </w:r>
          </w:p>
        </w:tc>
        <w:tc>
          <w:tcPr>
            <w:tcW w:w="7197" w:type="dxa"/>
            <w:gridSpan w:val="3"/>
            <w:vAlign w:val="center"/>
          </w:tcPr>
          <w:p>
            <w:pPr>
              <w:jc w:val="left"/>
              <w:rPr>
                <w:rFonts w:hint="eastAsia" w:ascii="Calibri" w:hAnsi="Calibri" w:eastAsia="宋体"/>
                <w:sz w:val="18"/>
                <w:szCs w:val="22"/>
                <w:lang w:val="en-US" w:eastAsia="zh-CN"/>
              </w:rPr>
            </w:pPr>
            <w:bookmarkStart w:id="0" w:name="_GoBack"/>
            <w:r>
              <w:rPr>
                <w:rFonts w:hint="eastAsia" w:ascii="方正粗黑宋简体" w:hAnsi="方正粗黑宋简体" w:eastAsia="方正粗黑宋简体"/>
                <w:szCs w:val="21"/>
              </w:rPr>
              <w:t>《骆驼祥子》思想艺术特色中的悲剧色彩</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89" w:type="dxa"/>
            <w:gridSpan w:val="4"/>
            <w:vAlign w:val="center"/>
          </w:tcPr>
          <w:p>
            <w:pPr>
              <w:jc w:val="left"/>
              <w:rPr>
                <w:rFonts w:ascii="Calibri" w:hAnsi="Calibri"/>
                <w:color w:val="000000"/>
                <w:sz w:val="24"/>
                <w:szCs w:val="22"/>
              </w:rPr>
            </w:pPr>
            <w:r>
              <w:rPr>
                <w:rFonts w:hint="eastAsia" w:ascii="Calibri" w:hAnsi="Calibri"/>
                <w:color w:val="000000"/>
                <w:sz w:val="24"/>
                <w:szCs w:val="22"/>
              </w:rPr>
              <w:t>本选题的意义及国内外研究状况：</w:t>
            </w:r>
          </w:p>
          <w:p>
            <w:pPr>
              <w:jc w:val="left"/>
              <w:rPr>
                <w:rFonts w:hint="eastAsia" w:ascii="Calibri" w:hAnsi="Calibri"/>
                <w:color w:val="000000"/>
                <w:sz w:val="24"/>
                <w:szCs w:val="22"/>
              </w:rPr>
            </w:pPr>
            <w:r>
              <w:rPr>
                <w:rFonts w:hint="eastAsia" w:ascii="Calibri" w:hAnsi="Calibri"/>
                <w:color w:val="000000"/>
                <w:sz w:val="24"/>
                <w:szCs w:val="22"/>
              </w:rPr>
              <w:t>《骆驼祥子》作为老舍先生的代表作，其思想艺术特色中的悲剧色彩一直是文学研究的重要课题。本选题的意义在于，它不仅能够帮助我们更深入地理解老舍的文学创作，而且能够从悲剧的角度审视和反思那个时代的社会现实和人性问题。</w:t>
            </w:r>
          </w:p>
          <w:p>
            <w:pPr>
              <w:jc w:val="left"/>
              <w:rPr>
                <w:rFonts w:hint="eastAsia" w:ascii="Calibri" w:hAnsi="Calibri"/>
                <w:color w:val="000000"/>
                <w:sz w:val="24"/>
                <w:szCs w:val="22"/>
              </w:rPr>
            </w:pPr>
            <w:r>
              <w:rPr>
                <w:rFonts w:hint="eastAsia" w:ascii="Calibri" w:hAnsi="Calibri"/>
                <w:color w:val="000000"/>
                <w:sz w:val="24"/>
                <w:szCs w:val="22"/>
              </w:rPr>
              <w:t>从学术角度来看，本选题有助于深化对《骆驼祥子》文学价值的认识，丰富文学悲剧理论的研究。通过对祥子悲剧命运的分析，可以揭示老舍如何运用文学手法来表达对社会不公和人性复杂的深刻理解。此外，本选题还促进了文学的比较研究，通过与不同文化背景下的悲剧作品进行比较，可以发现不同文化对悲剧的理解和表达方式的差异。</w:t>
            </w:r>
          </w:p>
          <w:p>
            <w:pPr>
              <w:jc w:val="left"/>
              <w:rPr>
                <w:rFonts w:ascii="Calibri" w:hAnsi="Calibri"/>
                <w:sz w:val="18"/>
                <w:szCs w:val="22"/>
              </w:rPr>
            </w:pPr>
            <w:r>
              <w:rPr>
                <w:rFonts w:hint="eastAsia" w:ascii="Calibri" w:hAnsi="Calibri"/>
                <w:color w:val="000000"/>
                <w:sz w:val="24"/>
                <w:szCs w:val="22"/>
              </w:rPr>
              <w:t>在现实意义上，本选题的研究有助于我们更好地理解社会变迁对个人命运的影响，以及个人如何在社会大环境中寻求自我价值和生存空间。祥子的形象和命运能够引发读者对人性、道德和价值观的深刻思考，对现代社会仍有重要的启示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89" w:type="dxa"/>
            <w:gridSpan w:val="4"/>
            <w:vAlign w:val="center"/>
          </w:tcPr>
          <w:p>
            <w:pPr>
              <w:rPr>
                <w:rFonts w:ascii="Calibri" w:hAnsi="Calibri"/>
                <w:color w:val="000000"/>
                <w:sz w:val="24"/>
                <w:szCs w:val="22"/>
              </w:rPr>
            </w:pPr>
            <w:r>
              <w:rPr>
                <w:rFonts w:hint="eastAsia" w:ascii="Calibri" w:hAnsi="Calibri"/>
                <w:color w:val="000000"/>
                <w:sz w:val="24"/>
                <w:szCs w:val="22"/>
              </w:rPr>
              <w:t>研究内容：</w:t>
            </w:r>
          </w:p>
          <w:p>
            <w:pPr>
              <w:jc w:val="left"/>
              <w:rPr>
                <w:rFonts w:hint="eastAsia" w:ascii="Calibri" w:hAnsi="Calibri"/>
                <w:color w:val="000000"/>
                <w:sz w:val="24"/>
                <w:szCs w:val="22"/>
              </w:rPr>
            </w:pPr>
            <w:r>
              <w:rPr>
                <w:rFonts w:hint="eastAsia" w:ascii="Calibri" w:hAnsi="Calibri"/>
                <w:color w:val="000000"/>
                <w:sz w:val="24"/>
                <w:szCs w:val="22"/>
              </w:rPr>
              <w:t>《骆驼祥子》作为老舍先生的代表作，其深刻的思想艺术特色和悲剧色彩一直是文学研究的热点。本研究内容旨在全面分析《骆驼祥子》中的悲剧元素，探讨其如何通过祥子这一人物形象，反映出旧社会北京底层人民的生活状态和精神面貌。</w:t>
            </w:r>
          </w:p>
          <w:p>
            <w:pPr>
              <w:jc w:val="left"/>
              <w:rPr>
                <w:rFonts w:hint="eastAsia" w:ascii="Calibri" w:hAnsi="Calibri"/>
                <w:color w:val="000000"/>
                <w:sz w:val="24"/>
                <w:szCs w:val="22"/>
              </w:rPr>
            </w:pPr>
            <w:r>
              <w:rPr>
                <w:rFonts w:hint="eastAsia" w:ascii="Calibri" w:hAnsi="Calibri"/>
                <w:color w:val="000000"/>
                <w:sz w:val="24"/>
                <w:szCs w:val="22"/>
              </w:rPr>
              <w:t>研究首先聚焦于小说的社会背景，探讨旧社会的种种不公与压迫如何塑造了祥子的悲剧命运。通过祥子与社会环境的互动，揭示了个人理想与现实之间的巨大落差，以及这种落差对祥子命运的影响。祥子作为一个拉车夫，他的梦想、挣扎和失败，都深刻地体现了那个时代底层人民的生存困境。</w:t>
            </w:r>
          </w:p>
          <w:p>
            <w:pPr>
              <w:jc w:val="left"/>
              <w:rPr>
                <w:rFonts w:ascii="Calibri" w:hAnsi="Calibri"/>
                <w:sz w:val="18"/>
                <w:szCs w:val="22"/>
              </w:rPr>
            </w:pPr>
            <w:r>
              <w:rPr>
                <w:rFonts w:hint="eastAsia" w:ascii="Calibri" w:hAnsi="Calibri"/>
                <w:color w:val="000000"/>
                <w:sz w:val="24"/>
                <w:szCs w:val="22"/>
              </w:rPr>
              <w:t>研究深入探讨了祥子的性格特点及其与命运的关联。祥子的坚韧与悲观、积极与认命，这些性格特征如何影响他面对生活挑战的态度和选择，以及这些选择如何进一步加剧了他的悲剧命运。同时，研究还关注了小说中其他角色的性格与命运，分析他们如何与祥子的命运交织，共同构成了小说的悲剧色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89" w:type="dxa"/>
            <w:gridSpan w:val="4"/>
            <w:vAlign w:val="center"/>
          </w:tcPr>
          <w:p>
            <w:pPr>
              <w:jc w:val="left"/>
              <w:rPr>
                <w:rFonts w:ascii="Calibri" w:hAnsi="Calibri"/>
                <w:color w:val="000000"/>
                <w:sz w:val="24"/>
                <w:szCs w:val="22"/>
              </w:rPr>
            </w:pPr>
            <w:r>
              <w:rPr>
                <w:rFonts w:hint="eastAsia" w:ascii="Calibri" w:hAnsi="Calibri"/>
                <w:color w:val="000000"/>
                <w:sz w:val="24"/>
                <w:szCs w:val="22"/>
              </w:rPr>
              <w:t>研究方法、手段及步骤：</w:t>
            </w:r>
          </w:p>
          <w:p>
            <w:pPr>
              <w:jc w:val="left"/>
              <w:rPr>
                <w:rFonts w:hint="eastAsia" w:ascii="Calibri" w:hAnsi="Calibri"/>
                <w:color w:val="000000"/>
                <w:sz w:val="24"/>
                <w:szCs w:val="22"/>
              </w:rPr>
            </w:pPr>
            <w:r>
              <w:rPr>
                <w:rFonts w:hint="eastAsia" w:ascii="Calibri" w:hAnsi="Calibri"/>
                <w:color w:val="000000"/>
                <w:sz w:val="24"/>
                <w:szCs w:val="22"/>
              </w:rPr>
              <w:t>本研究旨在深入探讨老舍先生的《骆驼祥子》中的悲剧色彩及其思想艺术特色，研究方法、手段及步骤是综合且系统的。研究的核心在于文本分析，通过对小说的细致阅读和深入解读，挖掘作品的悲剧元素和艺术手法。文本分析不仅关注小说的情节发展和人物塑造，还重视语言风格、叙事结构和象征意象的运用，这些都是理解作品悲剧色彩的关键。</w:t>
            </w:r>
          </w:p>
          <w:p>
            <w:pPr>
              <w:jc w:val="left"/>
              <w:rPr>
                <w:rFonts w:hint="eastAsia" w:ascii="Calibri" w:hAnsi="Calibri"/>
                <w:color w:val="000000"/>
                <w:sz w:val="24"/>
                <w:szCs w:val="22"/>
              </w:rPr>
            </w:pPr>
            <w:r>
              <w:rPr>
                <w:rFonts w:hint="eastAsia" w:ascii="Calibri" w:hAnsi="Calibri"/>
                <w:color w:val="000000"/>
                <w:sz w:val="24"/>
                <w:szCs w:val="22"/>
              </w:rPr>
              <w:t>研究采用了跨学科的研究方法，结合文学批评、历史学、社会学和心理学等多个领域的理论和方法。通过跨学科的视角，可以更全面地理解《骆驼祥子》的社会背景、人物心理和艺术表现。例如，历史学可以帮助我们理解作品创作时期的社会环境，社会学可以帮助我们分析小说中的社会结构和人物关系，心理学则有助于我们深入探讨人物的内心世界和行为动机。</w:t>
            </w:r>
          </w:p>
          <w:p>
            <w:pPr>
              <w:jc w:val="left"/>
              <w:rPr>
                <w:rFonts w:hint="eastAsia" w:ascii="Calibri" w:hAnsi="Calibri"/>
                <w:color w:val="000000"/>
                <w:sz w:val="24"/>
                <w:szCs w:val="22"/>
              </w:rPr>
            </w:pPr>
            <w:r>
              <w:rPr>
                <w:rFonts w:hint="eastAsia" w:ascii="Calibri" w:hAnsi="Calibri"/>
                <w:color w:val="000000"/>
                <w:sz w:val="24"/>
                <w:szCs w:val="22"/>
              </w:rPr>
              <w:t>在研究手段上，本研究采用了文献研究、案例分析等方法。文献研究包括对老舍及其作品的已有研究成果的搜集和分析，为研究提供理论基础和参考框架。比较研究则将《骆驼祥子》与其他文学作品进行对比，探讨不同文化和时代背景下的悲剧表现。案例分析则专注于小说中的关键情节和人物，通过具体案例来揭示作品的深层含义。</w:t>
            </w:r>
          </w:p>
          <w:p>
            <w:pPr>
              <w:jc w:val="left"/>
              <w:rPr>
                <w:rFonts w:ascii="Calibri" w:hAnsi="Calibri"/>
                <w:sz w:val="18"/>
                <w:szCs w:val="22"/>
              </w:rPr>
            </w:pPr>
            <w:r>
              <w:rPr>
                <w:rFonts w:hint="eastAsia" w:ascii="Calibri" w:hAnsi="Calibri"/>
                <w:color w:val="000000"/>
                <w:sz w:val="24"/>
                <w:szCs w:val="22"/>
              </w:rPr>
              <w:t>研究步骤上，首先是文献综述，广泛搜集和整理与《骆驼祥子》相关的研究资料，包括学术论文、专著、评论等，以建立研究的理论基础。接着是文本分析，对小说进行逐章逐节的细致解读，深入分析小说的情节、人物、语言和象征等元素。随后是跨学科分析，结合历史学、社会学和心理学等学科的理论和方法，对小说进行多角度的解读。最后是综合分析，将文本分析和跨学科分析的结果进行整合，形成对《骆驼祥子》悲剧色彩的全面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89" w:type="dxa"/>
            <w:gridSpan w:val="4"/>
            <w:vAlign w:val="center"/>
          </w:tcPr>
          <w:p>
            <w:pPr>
              <w:rPr>
                <w:rFonts w:ascii="Calibri" w:hAnsi="Calibri"/>
                <w:color w:val="000000"/>
                <w:sz w:val="24"/>
                <w:szCs w:val="22"/>
              </w:rPr>
            </w:pPr>
            <w:r>
              <w:rPr>
                <w:rFonts w:hint="eastAsia" w:ascii="Calibri" w:hAnsi="Calibri"/>
                <w:color w:val="000000"/>
                <w:sz w:val="24"/>
                <w:szCs w:val="22"/>
              </w:rPr>
              <w:t>参考文献：</w:t>
            </w:r>
          </w:p>
          <w:p>
            <w:pPr>
              <w:jc w:val="left"/>
              <w:rPr>
                <w:rFonts w:hint="eastAsia" w:ascii="Calibri" w:hAnsi="Calibri"/>
                <w:sz w:val="24"/>
                <w:szCs w:val="24"/>
              </w:rPr>
            </w:pPr>
            <w:r>
              <w:rPr>
                <w:rFonts w:hint="eastAsia" w:ascii="Calibri" w:hAnsi="Calibri"/>
                <w:sz w:val="24"/>
                <w:szCs w:val="24"/>
              </w:rPr>
              <w:t>[1]房佳雯.《骆驼祥子》：多重视角下的悲剧言说[J].今古文创,2024,(10):4-6+27.</w:t>
            </w:r>
          </w:p>
          <w:p>
            <w:pPr>
              <w:jc w:val="left"/>
              <w:rPr>
                <w:rFonts w:hint="eastAsia" w:ascii="Calibri" w:hAnsi="Calibri"/>
                <w:sz w:val="24"/>
                <w:szCs w:val="24"/>
              </w:rPr>
            </w:pPr>
            <w:r>
              <w:rPr>
                <w:rFonts w:hint="eastAsia" w:ascii="Calibri" w:hAnsi="Calibri"/>
                <w:sz w:val="24"/>
                <w:szCs w:val="24"/>
              </w:rPr>
              <w:t>[2]徐元绍.“社会病胎里的产儿”:祥子悲剧论[J].临沂大学学报,2023,45(06):40-51.</w:t>
            </w:r>
          </w:p>
          <w:p>
            <w:pPr>
              <w:jc w:val="left"/>
              <w:rPr>
                <w:rFonts w:hint="eastAsia" w:ascii="Calibri" w:hAnsi="Calibri"/>
                <w:sz w:val="24"/>
                <w:szCs w:val="24"/>
              </w:rPr>
            </w:pPr>
            <w:r>
              <w:rPr>
                <w:rFonts w:hint="eastAsia" w:ascii="Calibri" w:hAnsi="Calibri"/>
                <w:sz w:val="24"/>
                <w:szCs w:val="24"/>
              </w:rPr>
              <w:t>[3]曹思琪.时代悲剧个人哀歌——《骆驼祥子》中祥子悲剧命运探究[J].初中生学习指导,2023,(30):7-9.</w:t>
            </w:r>
          </w:p>
          <w:p>
            <w:pPr>
              <w:jc w:val="left"/>
              <w:rPr>
                <w:rFonts w:hint="eastAsia" w:ascii="Calibri" w:hAnsi="Calibri"/>
                <w:sz w:val="24"/>
                <w:szCs w:val="24"/>
              </w:rPr>
            </w:pPr>
            <w:r>
              <w:rPr>
                <w:rFonts w:hint="eastAsia" w:ascii="Calibri" w:hAnsi="Calibri"/>
                <w:sz w:val="24"/>
                <w:szCs w:val="24"/>
              </w:rPr>
              <w:t>[4]吴旋涛.《骆驼祥子》小人物形象分析[J].作家天地,2023,(27):4-6.</w:t>
            </w:r>
          </w:p>
          <w:p>
            <w:pPr>
              <w:jc w:val="left"/>
              <w:rPr>
                <w:rFonts w:hint="eastAsia" w:ascii="Calibri" w:hAnsi="Calibri"/>
                <w:sz w:val="24"/>
                <w:szCs w:val="24"/>
              </w:rPr>
            </w:pPr>
            <w:r>
              <w:rPr>
                <w:rFonts w:hint="eastAsia" w:ascii="Calibri" w:hAnsi="Calibri"/>
                <w:sz w:val="24"/>
                <w:szCs w:val="24"/>
              </w:rPr>
              <w:t>[5]蒋璐.论从《离婚》到《骆驼祥子》中婚姻悲剧情感的变化[J].美与时代(下),2022,(05):93-95.</w:t>
            </w:r>
          </w:p>
          <w:p>
            <w:pPr>
              <w:jc w:val="left"/>
              <w:rPr>
                <w:rFonts w:hint="eastAsia" w:ascii="Calibri" w:hAnsi="Calibri"/>
                <w:sz w:val="24"/>
                <w:szCs w:val="24"/>
              </w:rPr>
            </w:pPr>
            <w:r>
              <w:rPr>
                <w:rFonts w:hint="eastAsia" w:ascii="Calibri" w:hAnsi="Calibri"/>
                <w:sz w:val="24"/>
                <w:szCs w:val="24"/>
              </w:rPr>
              <w:t>[6]叶捷.《骆驼祥子》思想艺术中的悲剧色彩[J].黑龙江教师发展学院学报,2020,39(11):116-118.</w:t>
            </w:r>
          </w:p>
          <w:p>
            <w:pPr>
              <w:jc w:val="left"/>
              <w:rPr>
                <w:rFonts w:hint="eastAsia" w:ascii="Calibri" w:hAnsi="Calibri"/>
                <w:sz w:val="24"/>
                <w:szCs w:val="24"/>
              </w:rPr>
            </w:pPr>
            <w:r>
              <w:rPr>
                <w:rFonts w:hint="eastAsia" w:ascii="Calibri" w:hAnsi="Calibri"/>
                <w:sz w:val="24"/>
                <w:szCs w:val="24"/>
              </w:rPr>
              <w:t>[7]王玲玉.浅析《骆驼祥子》中祥子的三起三落[J].现代交际,2020,(01):114-115.</w:t>
            </w:r>
          </w:p>
          <w:p>
            <w:pPr>
              <w:jc w:val="left"/>
              <w:rPr>
                <w:rFonts w:hint="eastAsia" w:ascii="Calibri" w:hAnsi="Calibri"/>
                <w:sz w:val="24"/>
                <w:szCs w:val="24"/>
              </w:rPr>
            </w:pPr>
            <w:r>
              <w:rPr>
                <w:rFonts w:hint="eastAsia" w:ascii="Calibri" w:hAnsi="Calibri"/>
                <w:sz w:val="24"/>
                <w:szCs w:val="24"/>
              </w:rPr>
              <w:t>[8]林炼茹.骆驼祥子命运的多重悲剧因素探析[J].青年文学家,2017,(35):22.</w:t>
            </w:r>
          </w:p>
          <w:p>
            <w:pPr>
              <w:jc w:val="left"/>
              <w:rPr>
                <w:rFonts w:hint="eastAsia" w:ascii="Calibri" w:hAnsi="Calibri"/>
                <w:sz w:val="24"/>
                <w:szCs w:val="24"/>
              </w:rPr>
            </w:pPr>
            <w:r>
              <w:rPr>
                <w:rFonts w:hint="eastAsia" w:ascii="Calibri" w:hAnsi="Calibri"/>
                <w:sz w:val="24"/>
                <w:szCs w:val="24"/>
              </w:rPr>
              <w:t>[9]刘梦洁.浅谈《骆驼祥子》的悲剧色彩及思想意义[J].青年文学家,2017,(32):34.</w:t>
            </w:r>
          </w:p>
          <w:p>
            <w:pPr>
              <w:jc w:val="left"/>
              <w:rPr>
                <w:rFonts w:ascii="Calibri" w:hAnsi="Calibri"/>
                <w:sz w:val="18"/>
                <w:szCs w:val="22"/>
              </w:rPr>
            </w:pPr>
            <w:r>
              <w:rPr>
                <w:rFonts w:hint="eastAsia" w:ascii="Calibri" w:hAnsi="Calibri"/>
                <w:sz w:val="24"/>
                <w:szCs w:val="24"/>
              </w:rPr>
              <w:t>[10]冯彦博.浅谈《骆驼祥子》的悲剧主题[J].语数外学习(高中版下旬),2017,(06):31.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89" w:type="dxa"/>
            <w:gridSpan w:val="4"/>
            <w:vAlign w:val="center"/>
          </w:tcPr>
          <w:p>
            <w:pPr>
              <w:rPr>
                <w:rFonts w:ascii="Calibri" w:hAnsi="Calibri"/>
                <w:color w:val="000000"/>
                <w:sz w:val="24"/>
                <w:szCs w:val="22"/>
              </w:rPr>
            </w:pPr>
            <w:r>
              <w:rPr>
                <w:rFonts w:hint="eastAsia" w:ascii="Calibri" w:hAnsi="Calibri"/>
                <w:color w:val="000000"/>
                <w:sz w:val="24"/>
                <w:szCs w:val="22"/>
              </w:rPr>
              <w:t>指导教师意见：</w:t>
            </w:r>
          </w:p>
          <w:p>
            <w:pPr>
              <w:rPr>
                <w:rFonts w:ascii="Calibri" w:hAnsi="Calibri"/>
                <w:color w:val="000000"/>
                <w:sz w:val="24"/>
                <w:szCs w:val="22"/>
              </w:rPr>
            </w:pPr>
          </w:p>
          <w:p>
            <w:pPr>
              <w:rPr>
                <w:rFonts w:ascii="Calibri" w:hAnsi="Calibri"/>
                <w:color w:val="000000"/>
                <w:sz w:val="24"/>
                <w:szCs w:val="22"/>
              </w:rPr>
            </w:pPr>
          </w:p>
          <w:p>
            <w:pPr>
              <w:rPr>
                <w:rFonts w:ascii="Calibri" w:hAnsi="Calibri"/>
                <w:color w:val="000000"/>
                <w:sz w:val="24"/>
                <w:szCs w:val="22"/>
              </w:rPr>
            </w:pPr>
          </w:p>
          <w:p>
            <w:pPr>
              <w:jc w:val="left"/>
              <w:rPr>
                <w:rFonts w:ascii="Calibri" w:hAnsi="Calibri"/>
                <w:b/>
                <w:sz w:val="18"/>
                <w:szCs w:val="22"/>
              </w:rPr>
            </w:pPr>
            <w:r>
              <w:rPr>
                <w:rFonts w:hint="eastAsia" w:ascii="Calibri" w:hAnsi="Calibri"/>
                <w:color w:val="000000"/>
                <w:sz w:val="24"/>
                <w:szCs w:val="22"/>
              </w:rPr>
              <w:t xml:space="preserve">                                   </w:t>
            </w:r>
            <w:r>
              <w:rPr>
                <w:rFonts w:hint="eastAsia" w:ascii="Calibri" w:hAnsi="Calibri"/>
                <w:b/>
                <w:color w:val="000000"/>
                <w:sz w:val="24"/>
                <w:szCs w:val="22"/>
              </w:rPr>
              <w:t xml:space="preserve"> 签名：                  年   月   日</w:t>
            </w:r>
          </w:p>
        </w:tc>
      </w:tr>
    </w:tbl>
    <w:p/>
    <w:sectPr>
      <w:pgSz w:w="11906" w:h="16838"/>
      <w:pgMar w:top="1440" w:right="1474"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方正粗黑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73BC3368"/>
    <w:rsid w:val="73BC3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2024-05-28T23:45:00Z</dcterms:created>
  <dc:creator>A</dc:creator>
  <cp:lastModifiedBy>A</cp:lastModifiedBy>
  <dcterms:modified xsi:type="dcterms:W3CDTF">2024-05-28T23:57:16Z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F979E224C6EC4E7495B518A9B1E1FBC5_11</vt:lpwstr>
  </property>
</Properties>
</file>